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235 vom 24. Januar 2007</w:t>
      </w:r>
    </w:p>
    <w:p>
      <w:r>
        <w:t>GR Gerichte, 2007-01-24, DE</w:t>
      </w:r>
    </w:p>
    <w:p>
      <w:r>
        <w:rPr>
          <w:b/>
        </w:rPr>
        <w:t xml:space="preserve">Quelle: </w:t>
      </w:r>
      <w:r>
        <w:t>https://mcp.opencaselaw.ch/entscheid/gr_gerichte_PZ 2006 235</w:t>
      </w:r>
    </w:p>
    <w:p>
      <w:r>
        <w:t>FR: GR_GERICHTE PZ 2006 235 du 24 janvier 2007</w:t>
      </w:r>
    </w:p>
    <w:p>
      <w:r>
        <w:t>IT: GR_GERICHTE PZ 2006 235 del 24 gennaio 2007</w:t>
      </w:r>
    </w:p>
    <w:p>
      <w:pPr>
        <w:pStyle w:val="Heading2"/>
      </w:pPr>
      <w:r>
        <w:t>Regeste</w:t>
      </w:r>
    </w:p>
    <w:p>
      <w:r>
        <w:t>Amtsbefehl | Amtsbefehl/Amtsverbot (ZPO 152/154)</w:t>
      </w:r>
    </w:p>
    <w:p>
      <w:pPr>
        <w:pStyle w:val="Heading2"/>
      </w:pPr>
      <w:r>
        <w:t>Erwägungen</w:t>
      </w:r>
    </w:p>
    <w:p>
      <w:r>
        <w:rPr>
          <w:b/>
        </w:rPr>
        <w:t>E. 2</w:t>
      </w:r>
    </w:p>
    <w:p>
      <w:r>
        <w:t>Am 2. November 2006 erliess der Kreispräsident Alvaschein eine superprovisorische Verfügung, mit welcher er A.X. und B.X. gestützt auf Art. 149</w:t>
      </w:r>
    </w:p>
    <w:p>
      <w:r>
        <w:rPr>
          <w:b/>
        </w:rPr>
        <w:t>E. 3</w:t>
      </w:r>
    </w:p>
    <w:p>
      <w:r>
        <w:t>A.X. und B.X. beantragten in ihrer fristgemäss eingereichten Stel- lungnahme vom 17. November 2006, es sei die superprovisorische Verfügung aufzuheben und von einem Hausverbot abzusehen. Zur Begründung führten sie im Wesentlichen aus, bei der Übertragung der Wohnung an C.X. im Jahre 1998 sei auf ausdrücklichen Wunsch von D.X. eine Vereinbarung abgeschlossen wor- den, gemäss welcher die Wohnung eine Familienwohnung bleibe und alle Fa- milienmitglieder das Recht hätten, die Wohnung zu nutzen. Sie - A.X. und B.X. - hätten sich nie geweigert, sich an den Kosten der Wohnung zu beteiligen. Ebensowenig hätten sie C.X. je bedroht. Eine Absprache bezüglich der Woh- nungsnutzung sei allein wegen des Verhaltens der Gesuchstellerin gescheitert. C.X. habe die Vereinbarung am 29. August 2006 fristlos mit falschen, vorge- schobenen Gründen gekündigt. Im vorliegenden Verfahren liesse sich diesbe- züglich keine Klärung schaffen. Die superprovisorische Verfügung sei zu Un- recht ergangen, da sie ein Recht zum Besitz und zur Mitbenutzung der betref- fenden Wohnung hätten.</w:t>
      </w:r>
    </w:p>
    <w:p>
      <w:r>
        <w:rPr>
          <w:b/>
        </w:rPr>
        <w:t>E. 4</w:t>
      </w:r>
    </w:p>
    <w:p>
      <w:r>
        <w:t>In ihrer Stellungnahme vom 29. November 2006 hielt C.X. an ihren Ausführungen im Gesuch vom 25. Oktober 2006 fest. Ergänzend führte sie aus, ihr Bruder und ihre Mutter hätten als Ausgleich zu der ihr übertragenen Woh- nung grosse Anteile der Firma ihres Vaters sowie viele andere Dinge in Deutsch- land überschrieben bekommen. Es sei zwar der Wunsch ihres Vaters gewesen, dass die Wohnung vorerst weiterhin von allen Familienmitgliedern nach Abspra- che genutzt werden könne. Ihr Vater habe jedoch stets betont, dass diese ge- meinsame Nutzung als vorläufig zu betrachten sei und sie von einem gewissen Zeitpunkt an auch etwas von ihrem Eigentum haben solle. Er habe den betref- fenden Zeitpunkt datumsmässig bestimmt. Sie könne sich an das Datum nicht genau erinnern, der betreffende Zeitpunkt sei aber inzwischen abgelaufen. Die Auffassung der Gesuchsgegner, die Kündigung sei rechtlich unwirksam, sei nicht nachvollziehbar. B. Mit Verfügung vom Dezember 2006, mitgeteilt am 14. Dezember 2006, erkannte der Kreispräsident Alvaschein: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